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Дошкольная педагогика и психология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предназначена для воспитателей ДОУ, методистов и старших воспитателей ДОУ, педагогов коммерческих центров развития ребенка, педагогов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педагогика и психология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современной дошкольной педагогики и психологии.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данной цели предполагает решение следующих взаимообусловленных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 слушателей курсов повышения квалификации базовую систему научных знаний в области педагогики дошкольного детства, современных концепций и актуальных проблем теории и практики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расширить знания, умения и навыки слушателей в области работы с детьми дошкольного возраста в условиях введения ФГТ к структуре ООП ДО;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личностную и педагогическую направленность, ценностные гуманистические ориентацию, интерес к самостоятельному исследованию, актуальных вопросов педагогики и психологии дошкольного детства.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1. Дошкольная педагогика как отрасль педагогической науки: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педагогика как наука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Современное дошкольное образование как педагогическая система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Современное дошкольное образование как педагогическая система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 развитие детей дошкольного возраста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2. Задачи, содержание и методы воспитания детей дошкольного возраста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Физическое и трудовое воспитание дошкольников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Нравственное воспитание дошкольников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Умственное воспитание дошкольников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Эстетическое воспитание дошкольников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3. Современные концепции дошкольного воспитания и образования: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Мировые педагогические концепции как методологическая и теоретическая основа для разработки концепций дошкольного воспитания и образования.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целостного педагогического процесса воспитательно-образовательной работы в дошкольном учреждении.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Индивидуальный подход в воспитании и обучении детей дошкольного возраста.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работы педагога с детьми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4. Психология детей дошкольного возраста: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Закономерности психического развития ребенка дошкольного возраста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деятельности дошкольников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личности дошкольника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Удостоверение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удостоверение/свидетельство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 или 144 часа (2-3 месяца)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2380343-kursy-povysheniya-kvalifikatsii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Mode="External" Target="http://sispp.tiu.ru/g3032377-doshkolnoe-obrazovanie" Id="docRId4" Type="http://schemas.openxmlformats.org/officeDocument/2006/relationships/hyperlink"/><Relationship Target="styles.xml" Id="docRId6" Type="http://schemas.openxmlformats.org/officeDocument/2006/relationships/styles"/></Relationships>
</file>